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69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51409" cy="624077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1409" cy="624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3"/>
        <w:rPr>
          <w:rFonts w:ascii="Times New Roman"/>
          <w:sz w:val="14"/>
        </w:rPr>
      </w:pPr>
    </w:p>
    <w:p>
      <w:pPr>
        <w:pStyle w:val="Heading1"/>
        <w:ind w:left="2819"/>
      </w:pPr>
      <w:r>
        <w:rPr/>
        <w:t>PROJETO DE LEI N°137, DE 20 DE DEZEMBRO DE 2017</w:t>
      </w:r>
    </w:p>
    <w:p>
      <w:pPr>
        <w:pStyle w:val="BodyText"/>
        <w:spacing w:before="8"/>
        <w:rPr>
          <w:b/>
          <w:sz w:val="20"/>
        </w:rPr>
      </w:pPr>
    </w:p>
    <w:p>
      <w:pPr>
        <w:spacing w:line="266" w:lineRule="auto" w:before="1"/>
        <w:ind w:left="4761" w:right="537" w:firstLine="0"/>
        <w:jc w:val="both"/>
        <w:rPr>
          <w:b/>
          <w:sz w:val="16"/>
        </w:rPr>
      </w:pPr>
      <w:r>
        <w:rPr>
          <w:b/>
          <w:sz w:val="16"/>
        </w:rPr>
        <w:t>AUTORIZA A ABERTURA DE CRÉDITO ADICIONAL SUPLEMENTAR NO VALOR DE R$ 18.000,00 (DEZOITO MIL REAIS) NA LEI ORÇAMENTÁRIA ANUAL E DÁ PROVIDÊNCIAS.</w:t>
      </w:r>
    </w:p>
    <w:p>
      <w:pPr>
        <w:pStyle w:val="BodyText"/>
        <w:spacing w:before="4"/>
        <w:rPr>
          <w:b/>
          <w:sz w:val="25"/>
        </w:rPr>
      </w:pPr>
    </w:p>
    <w:p>
      <w:pPr>
        <w:pStyle w:val="BodyText"/>
        <w:spacing w:line="384" w:lineRule="auto" w:before="101"/>
        <w:ind w:left="849" w:right="544" w:firstLine="732"/>
        <w:jc w:val="both"/>
      </w:pPr>
      <w:r>
        <w:rPr>
          <w:w w:val="105"/>
        </w:rPr>
        <w:t>Art.</w:t>
      </w:r>
      <w:r>
        <w:rPr>
          <w:spacing w:val="-16"/>
          <w:w w:val="105"/>
        </w:rPr>
        <w:t> </w:t>
      </w:r>
      <w:r>
        <w:rPr>
          <w:spacing w:val="-12"/>
          <w:w w:val="105"/>
        </w:rPr>
        <w:t>1°.</w:t>
      </w:r>
      <w:r>
        <w:rPr>
          <w:spacing w:val="-16"/>
          <w:w w:val="105"/>
        </w:rPr>
        <w:t> </w:t>
      </w:r>
      <w:r>
        <w:rPr>
          <w:w w:val="105"/>
        </w:rPr>
        <w:t>Autoriza</w:t>
      </w:r>
      <w:r>
        <w:rPr>
          <w:spacing w:val="-18"/>
          <w:w w:val="105"/>
        </w:rPr>
        <w:t> </w:t>
      </w:r>
      <w:r>
        <w:rPr>
          <w:w w:val="105"/>
        </w:rPr>
        <w:t>a</w:t>
      </w:r>
      <w:r>
        <w:rPr>
          <w:spacing w:val="-18"/>
          <w:w w:val="105"/>
        </w:rPr>
        <w:t> </w:t>
      </w:r>
      <w:r>
        <w:rPr>
          <w:w w:val="105"/>
        </w:rPr>
        <w:t>abertura</w:t>
      </w:r>
      <w:r>
        <w:rPr>
          <w:spacing w:val="-18"/>
          <w:w w:val="105"/>
        </w:rPr>
        <w:t> </w:t>
      </w:r>
      <w:r>
        <w:rPr>
          <w:w w:val="105"/>
        </w:rPr>
        <w:t>de</w:t>
      </w:r>
      <w:r>
        <w:rPr>
          <w:spacing w:val="-18"/>
          <w:w w:val="105"/>
        </w:rPr>
        <w:t> </w:t>
      </w:r>
      <w:r>
        <w:rPr>
          <w:w w:val="105"/>
        </w:rPr>
        <w:t>crédito</w:t>
      </w:r>
      <w:r>
        <w:rPr>
          <w:spacing w:val="-18"/>
          <w:w w:val="105"/>
        </w:rPr>
        <w:t> </w:t>
      </w:r>
      <w:r>
        <w:rPr>
          <w:w w:val="105"/>
        </w:rPr>
        <w:t>adicional</w:t>
      </w:r>
      <w:r>
        <w:rPr>
          <w:spacing w:val="-17"/>
          <w:w w:val="105"/>
        </w:rPr>
        <w:t> </w:t>
      </w:r>
      <w:r>
        <w:rPr>
          <w:w w:val="105"/>
        </w:rPr>
        <w:t>suplementar</w:t>
      </w:r>
      <w:r>
        <w:rPr>
          <w:spacing w:val="-18"/>
          <w:w w:val="105"/>
        </w:rPr>
        <w:t> </w:t>
      </w:r>
      <w:r>
        <w:rPr>
          <w:w w:val="105"/>
        </w:rPr>
        <w:t>no</w:t>
      </w:r>
      <w:r>
        <w:rPr>
          <w:spacing w:val="-18"/>
          <w:w w:val="105"/>
        </w:rPr>
        <w:t> </w:t>
      </w:r>
      <w:r>
        <w:rPr>
          <w:w w:val="105"/>
        </w:rPr>
        <w:t>valor</w:t>
      </w:r>
      <w:r>
        <w:rPr>
          <w:spacing w:val="-18"/>
          <w:w w:val="105"/>
        </w:rPr>
        <w:t> </w:t>
      </w:r>
      <w:r>
        <w:rPr>
          <w:w w:val="105"/>
        </w:rPr>
        <w:t>de</w:t>
      </w:r>
      <w:r>
        <w:rPr>
          <w:spacing w:val="-18"/>
          <w:w w:val="105"/>
        </w:rPr>
        <w:t> </w:t>
      </w:r>
      <w:r>
        <w:rPr>
          <w:w w:val="105"/>
        </w:rPr>
        <w:t>R$</w:t>
      </w:r>
      <w:r>
        <w:rPr>
          <w:spacing w:val="11"/>
          <w:w w:val="105"/>
        </w:rPr>
        <w:t> </w:t>
      </w:r>
      <w:r>
        <w:rPr>
          <w:w w:val="105"/>
        </w:rPr>
        <w:t>18.000,00</w:t>
      </w:r>
      <w:r>
        <w:rPr>
          <w:spacing w:val="-18"/>
          <w:w w:val="105"/>
        </w:rPr>
        <w:t> </w:t>
      </w:r>
      <w:r>
        <w:rPr>
          <w:w w:val="105"/>
        </w:rPr>
        <w:t>(dezoito</w:t>
      </w:r>
      <w:r>
        <w:rPr>
          <w:spacing w:val="-18"/>
          <w:w w:val="105"/>
        </w:rPr>
        <w:t> </w:t>
      </w:r>
      <w:r>
        <w:rPr>
          <w:w w:val="105"/>
        </w:rPr>
        <w:t>mil</w:t>
      </w:r>
      <w:r>
        <w:rPr>
          <w:spacing w:val="-17"/>
          <w:w w:val="105"/>
        </w:rPr>
        <w:t> </w:t>
      </w:r>
      <w:r>
        <w:rPr>
          <w:w w:val="105"/>
        </w:rPr>
        <w:t>reais) no Orçamento do Município para o Exercício de 2017, que passa a integrar a Lei Municipal n° 2615, de 02 de dezembro de 2016, conforme</w:t>
      </w:r>
      <w:r>
        <w:rPr>
          <w:spacing w:val="-11"/>
          <w:w w:val="105"/>
        </w:rPr>
        <w:t> </w:t>
      </w:r>
      <w:r>
        <w:rPr>
          <w:w w:val="105"/>
        </w:rPr>
        <w:t>segue:</w:t>
      </w:r>
    </w:p>
    <w:p>
      <w:pPr>
        <w:pStyle w:val="BodyText"/>
        <w:spacing w:before="2"/>
        <w:rPr>
          <w:sz w:val="26"/>
        </w:rPr>
      </w:pPr>
    </w:p>
    <w:tbl>
      <w:tblPr>
        <w:tblW w:w="0" w:type="auto"/>
        <w:jc w:val="left"/>
        <w:tblInd w:w="8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5803"/>
        <w:gridCol w:w="1807"/>
      </w:tblGrid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rPr>
                <w:sz w:val="16"/>
              </w:rPr>
            </w:pPr>
            <w:r>
              <w:rPr>
                <w:sz w:val="16"/>
              </w:rPr>
              <w:t>ÓRGÃO: 3 SEC. MUNICIPAL DE ADMINISTRAÇÃO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302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rPr>
                <w:sz w:val="16"/>
              </w:rPr>
            </w:pPr>
            <w:r>
              <w:rPr>
                <w:sz w:val="16"/>
              </w:rPr>
              <w:t>UNIDADE: 302 FUNDO DE PREVIDÊNCIA SOCIAL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2008</w:t>
            </w:r>
          </w:p>
        </w:tc>
        <w:tc>
          <w:tcPr>
            <w:tcW w:w="5803" w:type="dxa"/>
          </w:tcPr>
          <w:p>
            <w:pPr>
              <w:pStyle w:val="TableParagraph"/>
              <w:spacing w:line="145" w:lineRule="exact"/>
              <w:rPr>
                <w:sz w:val="16"/>
              </w:rPr>
            </w:pPr>
            <w:r>
              <w:rPr>
                <w:sz w:val="16"/>
              </w:rPr>
              <w:t>Proj./Ativ. 2.008 ASSISTÊNCIA E PREVIDÊNCIA A SERVIDORESPROJ./ATIV.</w:t>
            </w:r>
          </w:p>
          <w:p>
            <w:pPr>
              <w:pStyle w:val="TableParagraph"/>
              <w:spacing w:line="138" w:lineRule="exact" w:before="13"/>
              <w:rPr>
                <w:sz w:val="16"/>
              </w:rPr>
            </w:pPr>
            <w:r>
              <w:rPr>
                <w:sz w:val="16"/>
              </w:rPr>
              <w:t>2.008 ASSISTÊNCIA E PREVIDÊNCIA A SERVIDORES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319113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ind w:left="119"/>
              <w:rPr>
                <w:sz w:val="16"/>
              </w:rPr>
            </w:pPr>
            <w:r>
              <w:rPr>
                <w:sz w:val="16"/>
              </w:rPr>
              <w:t>- OBRIGAÇÕES PATRONAIS (34)</w:t>
            </w:r>
          </w:p>
        </w:tc>
        <w:tc>
          <w:tcPr>
            <w:tcW w:w="1807" w:type="dxa"/>
          </w:tcPr>
          <w:p>
            <w:pPr>
              <w:pStyle w:val="TableParagraph"/>
              <w:tabs>
                <w:tab w:pos="942" w:val="left" w:leader="none"/>
              </w:tabs>
              <w:spacing w:line="181" w:lineRule="exact"/>
              <w:ind w:left="39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  <w:tab/>
              <w:t>18.000,00</w:t>
            </w:r>
          </w:p>
        </w:tc>
      </w:tr>
      <w:tr>
        <w:trPr>
          <w:trHeight w:val="184" w:hRule="atLeast"/>
        </w:trPr>
        <w:tc>
          <w:tcPr>
            <w:tcW w:w="6494" w:type="dxa"/>
            <w:gridSpan w:val="2"/>
            <w:shd w:val="clear" w:color="auto" w:fill="99CCFF"/>
          </w:tcPr>
          <w:p>
            <w:pPr>
              <w:pStyle w:val="TableParagraph"/>
              <w:spacing w:line="160" w:lineRule="exact"/>
              <w:ind w:left="3038" w:right="30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Total</w:t>
            </w:r>
          </w:p>
        </w:tc>
        <w:tc>
          <w:tcPr>
            <w:tcW w:w="1807" w:type="dxa"/>
            <w:shd w:val="clear" w:color="auto" w:fill="99CCFF"/>
          </w:tcPr>
          <w:p>
            <w:pPr>
              <w:pStyle w:val="TableParagraph"/>
              <w:tabs>
                <w:tab w:pos="942" w:val="left" w:leader="none"/>
              </w:tabs>
              <w:spacing w:line="160" w:lineRule="exact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R$</w:t>
              <w:tab/>
              <w:t>18.000,00</w:t>
            </w:r>
          </w:p>
        </w:tc>
      </w:tr>
    </w:tbl>
    <w:p>
      <w:pPr>
        <w:pStyle w:val="BodyText"/>
        <w:spacing w:before="8"/>
        <w:rPr>
          <w:sz w:val="10"/>
        </w:rPr>
      </w:pPr>
    </w:p>
    <w:p>
      <w:pPr>
        <w:pStyle w:val="BodyText"/>
        <w:spacing w:before="101"/>
        <w:ind w:left="1639"/>
      </w:pPr>
      <w:r>
        <w:rPr/>
        <w:t>Art. 2º O crédito suplementar será coberto pela redução das seguintes dotações orçamentárias, como</w:t>
      </w:r>
    </w:p>
    <w:p>
      <w:pPr>
        <w:pStyle w:val="BodyText"/>
        <w:spacing w:before="13"/>
        <w:ind w:left="849"/>
      </w:pPr>
      <w:r>
        <w:rPr/>
        <w:t>seguem:</w:t>
      </w:r>
    </w:p>
    <w:p>
      <w:pPr>
        <w:pStyle w:val="BodyText"/>
        <w:spacing w:before="2"/>
        <w:rPr>
          <w:sz w:val="15"/>
        </w:rPr>
      </w:pPr>
    </w:p>
    <w:tbl>
      <w:tblPr>
        <w:tblW w:w="0" w:type="auto"/>
        <w:jc w:val="left"/>
        <w:tblInd w:w="8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5803"/>
        <w:gridCol w:w="1807"/>
      </w:tblGrid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rPr>
                <w:sz w:val="16"/>
              </w:rPr>
            </w:pPr>
            <w:r>
              <w:rPr>
                <w:sz w:val="16"/>
              </w:rPr>
              <w:t>ÓRGÃO: 3 SEC. MUNICIPAL DE ADMINISTRAÇÃO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301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rPr>
                <w:sz w:val="16"/>
              </w:rPr>
            </w:pPr>
            <w:r>
              <w:rPr>
                <w:sz w:val="16"/>
              </w:rPr>
              <w:t>UNIDADE: 301 SEC. MUNICIPAL DE ADMINISTRAÇÃO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2089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rPr>
                <w:sz w:val="16"/>
              </w:rPr>
            </w:pPr>
            <w:r>
              <w:rPr>
                <w:sz w:val="16"/>
              </w:rPr>
              <w:t>PROJ./ATIV. MANUTENÇÃO DA RÁDIO MUNICIPAL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339030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ind w:left="119"/>
              <w:rPr>
                <w:sz w:val="16"/>
              </w:rPr>
            </w:pPr>
            <w:r>
              <w:rPr>
                <w:sz w:val="16"/>
              </w:rPr>
              <w:t>- MATERIAL DE CONSUMO (40)</w:t>
            </w:r>
          </w:p>
        </w:tc>
        <w:tc>
          <w:tcPr>
            <w:tcW w:w="1807" w:type="dxa"/>
          </w:tcPr>
          <w:p>
            <w:pPr>
              <w:pStyle w:val="TableParagraph"/>
              <w:tabs>
                <w:tab w:pos="1031" w:val="left" w:leader="none"/>
              </w:tabs>
              <w:spacing w:before="64"/>
              <w:ind w:left="51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  <w:tab/>
              <w:t>5.000,00</w:t>
            </w: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rPr>
                <w:sz w:val="16"/>
              </w:rPr>
            </w:pPr>
            <w:r>
              <w:rPr>
                <w:sz w:val="16"/>
              </w:rPr>
              <w:t>ÓRGÃO: 5 SECRETARIA MUN. DE OBRAS E TRANSITO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501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rPr>
                <w:sz w:val="16"/>
              </w:rPr>
            </w:pPr>
            <w:r>
              <w:rPr>
                <w:sz w:val="16"/>
              </w:rPr>
              <w:t>UNIDADE: 501 SECRETARIA MUN. DE OBRAS E TRANSITO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2012</w:t>
            </w:r>
          </w:p>
        </w:tc>
        <w:tc>
          <w:tcPr>
            <w:tcW w:w="5803" w:type="dxa"/>
          </w:tcPr>
          <w:p>
            <w:pPr>
              <w:pStyle w:val="TableParagraph"/>
              <w:spacing w:line="145" w:lineRule="exact"/>
              <w:rPr>
                <w:sz w:val="16"/>
              </w:rPr>
            </w:pPr>
            <w:r>
              <w:rPr>
                <w:sz w:val="16"/>
              </w:rPr>
              <w:t>Proj./Ativ. 2.012 MANUTENÇÃO DA SECRETARIA MUNICIPAL DE OBRAS E</w:t>
            </w:r>
          </w:p>
          <w:p>
            <w:pPr>
              <w:pStyle w:val="TableParagraph"/>
              <w:spacing w:line="138" w:lineRule="exact" w:before="13"/>
              <w:rPr>
                <w:sz w:val="16"/>
              </w:rPr>
            </w:pPr>
            <w:r>
              <w:rPr>
                <w:sz w:val="16"/>
              </w:rPr>
              <w:t>TRANSITO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339039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ind w:left="119"/>
              <w:rPr>
                <w:sz w:val="16"/>
              </w:rPr>
            </w:pPr>
            <w:r>
              <w:rPr>
                <w:sz w:val="16"/>
              </w:rPr>
              <w:t>- OUTROS SERVIÇOS DE TERCEIROS - PESSOA JURÍDICA (79)</w:t>
            </w:r>
          </w:p>
        </w:tc>
        <w:tc>
          <w:tcPr>
            <w:tcW w:w="1807" w:type="dxa"/>
          </w:tcPr>
          <w:p>
            <w:pPr>
              <w:pStyle w:val="TableParagraph"/>
              <w:tabs>
                <w:tab w:pos="1031" w:val="left" w:leader="none"/>
              </w:tabs>
              <w:spacing w:before="64"/>
              <w:ind w:left="51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  <w:tab/>
              <w:t>7.000,00</w:t>
            </w: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rPr>
                <w:sz w:val="16"/>
              </w:rPr>
            </w:pPr>
            <w:r>
              <w:rPr>
                <w:sz w:val="16"/>
              </w:rPr>
              <w:t>ÓRGÃO: 9 SEC MUN HABITACAO, TRABALHO E ASSISTÊNCIA SOCIAL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902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rPr>
                <w:sz w:val="16"/>
              </w:rPr>
            </w:pPr>
            <w:r>
              <w:rPr>
                <w:sz w:val="16"/>
              </w:rPr>
              <w:t>UNIDADE: 902 FUNDO MUN. DA ASSISTENCIA SOCIAL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2070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rPr>
                <w:sz w:val="16"/>
              </w:rPr>
            </w:pPr>
            <w:r>
              <w:rPr>
                <w:sz w:val="16"/>
              </w:rPr>
              <w:t>Proj./Ativ. 2.070 GRANJA MUNICIPAL</w:t>
            </w:r>
          </w:p>
        </w:tc>
        <w:tc>
          <w:tcPr>
            <w:tcW w:w="1807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16" w:hRule="atLeast"/>
        </w:trPr>
        <w:tc>
          <w:tcPr>
            <w:tcW w:w="691" w:type="dxa"/>
          </w:tcPr>
          <w:p>
            <w:pPr>
              <w:pStyle w:val="TableParagraph"/>
              <w:spacing w:before="64"/>
              <w:rPr>
                <w:sz w:val="16"/>
              </w:rPr>
            </w:pPr>
            <w:r>
              <w:rPr>
                <w:sz w:val="16"/>
              </w:rPr>
              <w:t>339030</w:t>
            </w:r>
          </w:p>
        </w:tc>
        <w:tc>
          <w:tcPr>
            <w:tcW w:w="5803" w:type="dxa"/>
          </w:tcPr>
          <w:p>
            <w:pPr>
              <w:pStyle w:val="TableParagraph"/>
              <w:spacing w:before="57"/>
              <w:ind w:left="119"/>
              <w:rPr>
                <w:sz w:val="16"/>
              </w:rPr>
            </w:pPr>
            <w:r>
              <w:rPr>
                <w:sz w:val="16"/>
              </w:rPr>
              <w:t>- MATERIAL DE CONSUMO (380)</w:t>
            </w:r>
          </w:p>
        </w:tc>
        <w:tc>
          <w:tcPr>
            <w:tcW w:w="1807" w:type="dxa"/>
          </w:tcPr>
          <w:p>
            <w:pPr>
              <w:pStyle w:val="TableParagraph"/>
              <w:tabs>
                <w:tab w:pos="1031" w:val="left" w:leader="none"/>
              </w:tabs>
              <w:spacing w:before="64"/>
              <w:ind w:left="51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  <w:tab/>
              <w:t>6.000,00</w:t>
            </w:r>
          </w:p>
        </w:tc>
      </w:tr>
      <w:tr>
        <w:trPr>
          <w:trHeight w:val="184" w:hRule="atLeast"/>
        </w:trPr>
        <w:tc>
          <w:tcPr>
            <w:tcW w:w="6494" w:type="dxa"/>
            <w:gridSpan w:val="2"/>
            <w:shd w:val="clear" w:color="auto" w:fill="99CCFF"/>
          </w:tcPr>
          <w:p>
            <w:pPr>
              <w:pStyle w:val="TableParagraph"/>
              <w:spacing w:line="160" w:lineRule="exact"/>
              <w:ind w:left="3038" w:right="30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Total</w:t>
            </w:r>
          </w:p>
        </w:tc>
        <w:tc>
          <w:tcPr>
            <w:tcW w:w="1807" w:type="dxa"/>
            <w:shd w:val="clear" w:color="auto" w:fill="99CCFF"/>
          </w:tcPr>
          <w:p>
            <w:pPr>
              <w:pStyle w:val="TableParagraph"/>
              <w:tabs>
                <w:tab w:pos="942" w:val="left" w:leader="none"/>
              </w:tabs>
              <w:spacing w:line="160" w:lineRule="exact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R$</w:t>
              <w:tab/>
              <w:t>18.000,00</w:t>
            </w:r>
          </w:p>
        </w:tc>
      </w:tr>
    </w:tbl>
    <w:p>
      <w:pPr>
        <w:pStyle w:val="BodyText"/>
        <w:spacing w:before="1"/>
        <w:rPr>
          <w:sz w:val="25"/>
        </w:rPr>
      </w:pPr>
    </w:p>
    <w:p>
      <w:pPr>
        <w:pStyle w:val="BodyText"/>
        <w:spacing w:before="101"/>
        <w:ind w:left="1624"/>
      </w:pPr>
      <w:r>
        <w:rPr/>
        <w:t>Art. 3°Esta Lei entra em vigor na data de sua publicação.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Heading1"/>
        <w:spacing w:before="101"/>
        <w:ind w:left="5368"/>
      </w:pPr>
      <w:r>
        <w:rPr/>
        <w:t>VICTOR DOELER</w:t>
      </w:r>
    </w:p>
    <w:p>
      <w:pPr>
        <w:spacing w:before="147"/>
        <w:ind w:left="5332" w:right="0" w:firstLine="0"/>
        <w:jc w:val="left"/>
        <w:rPr>
          <w:b/>
          <w:sz w:val="16"/>
        </w:rPr>
      </w:pPr>
      <w:r>
        <w:rPr>
          <w:b/>
          <w:sz w:val="16"/>
        </w:rPr>
        <w:t>Prefeito Municipal</w:t>
      </w:r>
    </w:p>
    <w:p>
      <w:pPr>
        <w:pStyle w:val="BodyText"/>
        <w:spacing w:before="1"/>
        <w:rPr>
          <w:b/>
          <w:sz w:val="29"/>
        </w:rPr>
      </w:pPr>
    </w:p>
    <w:p>
      <w:pPr>
        <w:spacing w:before="100"/>
        <w:ind w:left="1624" w:right="0" w:firstLine="0"/>
        <w:jc w:val="left"/>
        <w:rPr>
          <w:b/>
          <w:sz w:val="16"/>
        </w:rPr>
      </w:pPr>
      <w:r>
        <w:rPr>
          <w:b/>
          <w:sz w:val="16"/>
        </w:rPr>
        <w:t>REGISTRE-SE. PUBLIQUE-SE. CUMPRA-SE.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2"/>
        </w:rPr>
      </w:pPr>
      <w:r>
        <w:rPr/>
        <w:pict>
          <v:line style="position:absolute;mso-position-horizontal-relative:page;mso-position-vertical-relative:paragraph;z-index:0;mso-wrap-distance-left:0;mso-wrap-distance-right:0" from="165.839935pt,9.467372pt" to="321.242859pt,9.467372pt" stroked="true" strokeweight=".55476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82.19986pt,9.319237pt" to="519.845778pt,9.319237pt" stroked="true" strokeweight=".402pt" strokecolor="#000000">
            <v:stroke dashstyle="solid"/>
            <w10:wrap type="topAndBottom"/>
          </v:line>
        </w:pict>
      </w:r>
    </w:p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footerReference w:type="default" r:id="rId5"/>
          <w:type w:val="continuous"/>
          <w:pgSz w:w="11900" w:h="16840"/>
          <w:pgMar w:footer="0" w:top="560" w:bottom="160" w:left="1680" w:right="580"/>
        </w:sectPr>
      </w:pPr>
    </w:p>
    <w:p>
      <w:pPr>
        <w:pStyle w:val="BodyText"/>
        <w:spacing w:line="432" w:lineRule="auto" w:before="49"/>
        <w:ind w:left="1816" w:right="36" w:firstLine="384"/>
      </w:pPr>
      <w:r>
        <w:rPr/>
        <w:t>Silvana Tassinari Taschetto Secretária Municipal da Administração</w:t>
      </w:r>
    </w:p>
    <w:p>
      <w:pPr>
        <w:pStyle w:val="BodyText"/>
        <w:spacing w:line="432" w:lineRule="auto" w:before="99"/>
        <w:ind w:left="1831" w:right="1513" w:hanging="15"/>
      </w:pPr>
      <w:r>
        <w:rPr/>
        <w:br w:type="column"/>
      </w:r>
      <w:r>
        <w:rPr/>
        <w:t>Arthur Sergio H. Filho Procurador Municipal</w:t>
      </w:r>
    </w:p>
    <w:p>
      <w:pPr>
        <w:spacing w:after="0" w:line="432" w:lineRule="auto"/>
        <w:sectPr>
          <w:type w:val="continuous"/>
          <w:pgSz w:w="11900" w:h="16840"/>
          <w:pgMar w:top="560" w:bottom="160" w:left="1680" w:right="580"/>
          <w:cols w:num="2" w:equalWidth="0">
            <w:col w:w="4603" w:space="149"/>
            <w:col w:w="488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0" w:lineRule="exact"/>
        <w:ind w:left="3239"/>
        <w:rPr>
          <w:sz w:val="2"/>
        </w:rPr>
      </w:pPr>
      <w:r>
        <w:rPr>
          <w:rFonts w:ascii="Times New Roman"/>
          <w:spacing w:val="5"/>
          <w:sz w:val="2"/>
        </w:rPr>
        <w:t> </w:t>
      </w:r>
      <w:r>
        <w:rPr>
          <w:spacing w:val="5"/>
          <w:sz w:val="2"/>
        </w:rPr>
        <w:pict>
          <v:group style="width:173.2pt;height:.45pt;mso-position-horizontal-relative:char;mso-position-vertical-relative:line" coordorigin="0,0" coordsize="3464,9">
            <v:line style="position:absolute" from="0,4" to="3463,4" stroked="true" strokeweight=".402pt" strokecolor="#000000">
              <v:stroke dashstyle="solid"/>
            </v:line>
          </v:group>
        </w:pict>
      </w:r>
      <w:r>
        <w:rPr>
          <w:spacing w:val="5"/>
          <w:sz w:val="2"/>
        </w:rPr>
      </w:r>
    </w:p>
    <w:p>
      <w:pPr>
        <w:pStyle w:val="BodyText"/>
        <w:spacing w:line="432" w:lineRule="auto" w:before="142"/>
        <w:ind w:left="3803" w:right="3477" w:firstLine="496"/>
      </w:pPr>
      <w:r>
        <w:rPr/>
        <w:t>Marta Helena Lenz Secretária Municipal da Fazenda</w:t>
      </w:r>
    </w:p>
    <w:p>
      <w:pPr>
        <w:spacing w:after="0" w:line="432" w:lineRule="auto"/>
        <w:sectPr>
          <w:type w:val="continuous"/>
          <w:pgSz w:w="11900" w:h="16840"/>
          <w:pgMar w:top="560" w:bottom="160" w:left="1680" w:right="58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1120" from="216.83992pt,513.907532pt" to="432.381746pt,513.907532pt" stroked="true" strokeweight=".42pt" strokecolor="#000000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359291pt;margin-top:13.571542pt;width:470.3pt;height:447.25pt;mso-position-horizontal-relative:page;mso-position-vertical-relative:paragraph;z-index:1096;mso-wrap-distance-left:0;mso-wrap-distance-right:0" type="#_x0000_t202" filled="false" stroked="true" strokeweight="1.199531pt" strokecolor="#000000">
            <v:textbox inset="0,0,0,0">
              <w:txbxContent>
                <w:p>
                  <w:pPr>
                    <w:spacing w:line="183" w:lineRule="exact" w:before="0"/>
                    <w:ind w:left="4035" w:right="4080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JUSTIFICATIVA</w:t>
                  </w:r>
                </w:p>
                <w:p>
                  <w:pPr>
                    <w:spacing w:before="29"/>
                    <w:ind w:left="2409" w:right="0" w:firstLine="0"/>
                    <w:jc w:val="left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PROJETO DE LEI N°137, DE 20 DE DEZEMBRO DE 2017</w:t>
                  </w:r>
                </w:p>
                <w:p>
                  <w:pPr>
                    <w:pStyle w:val="BodyText"/>
                    <w:spacing w:before="7"/>
                    <w:rPr>
                      <w:sz w:val="21"/>
                    </w:rPr>
                  </w:pPr>
                </w:p>
                <w:p>
                  <w:pPr>
                    <w:pStyle w:val="BodyText"/>
                    <w:ind w:left="1706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2"/>
                    <w:rPr>
                      <w:sz w:val="19"/>
                    </w:rPr>
                  </w:pPr>
                </w:p>
                <w:p>
                  <w:pPr>
                    <w:pStyle w:val="BodyText"/>
                    <w:spacing w:line="408" w:lineRule="auto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137, de 20 de dezembro de 2017, que “AUTORIZA A ABERTURA DE CRÉDITO ADICIONAL SUPLEMENTAR NO ORÇAMENTO DO MUNICÍPIO PARA O EXERCÍCIO DE 2017 NO VALOR DE R$ 18.000,00 (DEZOITO MIL REAIS) E DÁ PROVIDÊNCIAS."</w:t>
                  </w:r>
                </w:p>
                <w:p>
                  <w:pPr>
                    <w:pStyle w:val="BodyText"/>
                    <w:spacing w:line="451" w:lineRule="auto" w:before="103"/>
                    <w:ind w:left="206" w:right="249"/>
                    <w:jc w:val="both"/>
                  </w:pPr>
                  <w:r>
                    <w:rPr>
                      <w:w w:val="105"/>
                    </w:rPr>
                    <w:t>A matéria objeto do presente PL atende à necessidade de adequação do orçamento, estando explicitadas as razões que ensejam a propositiva e fazem parte integrante, deste PL para todos os fins.</w:t>
                  </w: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0" w:after="0"/>
                    <w:ind w:left="974" w:right="0" w:hanging="451"/>
                    <w:jc w:val="left"/>
                  </w:pPr>
                  <w:r>
                    <w:rPr>
                      <w:w w:val="105"/>
                    </w:rPr>
                    <w:t>Este Projeto de Lei é Suplementar visa ajustar a dotação 34 elemento 3.1.91.13 Obrigações</w:t>
                  </w:r>
                  <w:r>
                    <w:rPr>
                      <w:spacing w:val="-31"/>
                      <w:w w:val="105"/>
                    </w:rPr>
                    <w:t> </w:t>
                  </w:r>
                  <w:r>
                    <w:rPr>
                      <w:w w:val="105"/>
                    </w:rPr>
                    <w:t>Patronais.</w:t>
                  </w:r>
                </w:p>
                <w:p>
                  <w:pPr>
                    <w:pStyle w:val="BodyText"/>
                    <w:spacing w:before="3"/>
                    <w:rPr>
                      <w:sz w:val="20"/>
                    </w:rPr>
                  </w:pPr>
                </w:p>
                <w:p>
                  <w:pPr>
                    <w:pStyle w:val="BodyText"/>
                    <w:spacing w:line="145" w:lineRule="exact" w:before="1"/>
                    <w:ind w:left="974"/>
                  </w:pPr>
                  <w:r>
                    <w:rPr>
                      <w:w w:val="105"/>
                    </w:rPr>
                    <w:t>O motivo de necessitarmos elaborar este Projeto de Lei e o seu anterior foi devido a uma falha no arquivo de</w:t>
                  </w: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5" w:lineRule="exact" w:before="0" w:after="0"/>
                    <w:ind w:left="974" w:right="0" w:hanging="451"/>
                    <w:jc w:val="left"/>
                  </w:pPr>
                  <w:r>
                    <w:rPr>
                      <w:w w:val="105"/>
                    </w:rPr>
                    <w:t>integração do sistema contábil com o da folha de</w:t>
                  </w:r>
                  <w:r>
                    <w:rPr>
                      <w:spacing w:val="-9"/>
                      <w:w w:val="105"/>
                    </w:rPr>
                    <w:t> </w:t>
                  </w:r>
                  <w:r>
                    <w:rPr>
                      <w:w w:val="105"/>
                    </w:rPr>
                    <w:t>pagamento.</w:t>
                  </w:r>
                </w:p>
                <w:p>
                  <w:pPr>
                    <w:pStyle w:val="BodyText"/>
                    <w:spacing w:line="200" w:lineRule="atLeast" w:before="92"/>
                    <w:ind w:left="974" w:right="251"/>
                  </w:pPr>
                  <w:r>
                    <w:rPr>
                      <w:w w:val="105"/>
                    </w:rPr>
                    <w:t>Apesar, dos testes e validações que o próprio sistema faz e os que o setor de contabilidade fez conjuntamente com o departamento de pessoal este erro ficou oculto e não gerou inconsistência na</w:t>
                  </w: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13" w:lineRule="exact" w:before="0" w:after="0"/>
                    <w:ind w:left="974" w:right="0" w:hanging="451"/>
                    <w:jc w:val="left"/>
                  </w:pPr>
                  <w:r>
                    <w:rPr>
                      <w:w w:val="105"/>
                    </w:rPr>
                    <w:t>integração</w:t>
                  </w:r>
                  <w:r>
                    <w:rPr>
                      <w:spacing w:val="1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simulada</w:t>
                  </w:r>
                  <w:r>
                    <w:rPr>
                      <w:spacing w:val="1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dos</w:t>
                  </w:r>
                  <w:r>
                    <w:rPr>
                      <w:spacing w:val="16"/>
                      <w:w w:val="105"/>
                    </w:rPr>
                    <w:t> </w:t>
                  </w:r>
                  <w:r>
                    <w:rPr>
                      <w:w w:val="105"/>
                    </w:rPr>
                    <w:t>sistemas</w:t>
                  </w:r>
                  <w:r>
                    <w:rPr>
                      <w:spacing w:val="1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e</w:t>
                  </w:r>
                  <w:r>
                    <w:rPr>
                      <w:spacing w:val="16"/>
                      <w:w w:val="105"/>
                    </w:rPr>
                    <w:t> </w:t>
                  </w:r>
                  <w:r>
                    <w:rPr>
                      <w:w w:val="105"/>
                    </w:rPr>
                    <w:t>somente</w:t>
                  </w:r>
                  <w:r>
                    <w:rPr>
                      <w:spacing w:val="1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após</w:t>
                  </w:r>
                  <w:r>
                    <w:rPr>
                      <w:spacing w:val="16"/>
                      <w:w w:val="105"/>
                    </w:rPr>
                    <w:t> </w:t>
                  </w:r>
                  <w:r>
                    <w:rPr>
                      <w:w w:val="105"/>
                    </w:rPr>
                    <w:t>a</w:t>
                  </w:r>
                  <w:r>
                    <w:rPr>
                      <w:spacing w:val="1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integração</w:t>
                  </w:r>
                  <w:r>
                    <w:rPr>
                      <w:spacing w:val="16"/>
                      <w:w w:val="105"/>
                    </w:rPr>
                    <w:t> </w:t>
                  </w:r>
                  <w:r>
                    <w:rPr>
                      <w:w w:val="105"/>
                    </w:rPr>
                    <w:t>real</w:t>
                  </w:r>
                  <w:r>
                    <w:rPr>
                      <w:spacing w:val="1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com</w:t>
                  </w:r>
                  <w:r>
                    <w:rPr>
                      <w:spacing w:val="17"/>
                      <w:w w:val="105"/>
                    </w:rPr>
                    <w:t> </w:t>
                  </w:r>
                  <w:r>
                    <w:rPr>
                      <w:w w:val="105"/>
                    </w:rPr>
                    <w:t>a</w:t>
                  </w:r>
                  <w:r>
                    <w:rPr>
                      <w:spacing w:val="1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volta</w:t>
                  </w:r>
                  <w:r>
                    <w:rPr>
                      <w:spacing w:val="16"/>
                      <w:w w:val="105"/>
                    </w:rPr>
                    <w:t> </w:t>
                  </w:r>
                  <w:r>
                    <w:rPr>
                      <w:w w:val="105"/>
                    </w:rPr>
                    <w:t>do</w:t>
                  </w:r>
                  <w:r>
                    <w:rPr>
                      <w:spacing w:val="1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PL</w:t>
                  </w:r>
                  <w:r>
                    <w:rPr>
                      <w:spacing w:val="16"/>
                      <w:w w:val="105"/>
                    </w:rPr>
                    <w:t> </w:t>
                  </w:r>
                  <w:r>
                    <w:rPr>
                      <w:w w:val="105"/>
                    </w:rPr>
                    <w:t>135/17</w:t>
                  </w:r>
                  <w:r>
                    <w:rPr>
                      <w:spacing w:val="1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que</w:t>
                  </w:r>
                  <w:r>
                    <w:rPr>
                      <w:spacing w:val="16"/>
                      <w:w w:val="105"/>
                    </w:rPr>
                    <w:t> </w:t>
                  </w:r>
                  <w:r>
                    <w:rPr>
                      <w:w w:val="105"/>
                    </w:rPr>
                    <w:t>o</w:t>
                  </w:r>
                  <w:r>
                    <w:rPr>
                      <w:spacing w:val="1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erro</w:t>
                  </w:r>
                </w:p>
                <w:p>
                  <w:pPr>
                    <w:pStyle w:val="BodyText"/>
                    <w:spacing w:before="23"/>
                    <w:ind w:left="974"/>
                  </w:pPr>
                  <w:r>
                    <w:rPr>
                      <w:w w:val="105"/>
                    </w:rPr>
                    <w:t>ficou evidente.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9"/>
                    <w:rPr>
                      <w:sz w:val="14"/>
                    </w:rPr>
                  </w:pPr>
                </w:p>
                <w:p>
                  <w:pPr>
                    <w:pStyle w:val="BodyText"/>
                    <w:spacing w:line="268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Inclusive, solicitamos a apreciação do presente PL em </w:t>
                  </w:r>
                  <w:r>
                    <w:rPr>
                      <w:spacing w:val="-2"/>
                      <w:w w:val="105"/>
                    </w:rPr>
                    <w:t>REGIME </w:t>
                  </w:r>
                  <w:r>
                    <w:rPr>
                      <w:w w:val="105"/>
                    </w:rPr>
                    <w:t>DE URGÊNCIA, a qual solicitamos a tramitação desta matéria, já que maiores delongas no processo legislativo pode refletir em perda qualitativa do objeto que  se propôe este</w:t>
                  </w:r>
                  <w:r>
                    <w:rPr>
                      <w:spacing w:val="-2"/>
                      <w:w w:val="105"/>
                    </w:rPr>
                    <w:t> </w:t>
                  </w:r>
                  <w:r>
                    <w:rPr>
                      <w:w w:val="105"/>
                    </w:rPr>
                    <w:t>PL.</w:t>
                  </w:r>
                </w:p>
                <w:p>
                  <w:pPr>
                    <w:pStyle w:val="BodyText"/>
                    <w:spacing w:before="4"/>
                  </w:pPr>
                </w:p>
                <w:p>
                  <w:pPr>
                    <w:pStyle w:val="BodyText"/>
                    <w:spacing w:line="268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Assim, tendo em vista a relevância do presente Projeto de Lei, solicitamos que ele seja analisado e votado por esta Casa, nos termos da Lei Orgânica Municipal. Colocamos a Secretaria Municipal da Fazenda à disposição para esclarecimentos acerca da matéria.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4"/>
                    <w:rPr>
                      <w:sz w:val="14"/>
                    </w:rPr>
                  </w:pPr>
                </w:p>
                <w:p>
                  <w:pPr>
                    <w:pStyle w:val="BodyText"/>
                    <w:spacing w:line="259" w:lineRule="auto" w:before="1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v:stroke dashstyle="solid"/>
            <w10:wrap type="topAndBottom"/>
          </v:shape>
        </w:pict>
      </w:r>
    </w:p>
    <w:sectPr>
      <w:pgSz w:w="11900" w:h="16840"/>
      <w:pgMar w:header="0" w:footer="0" w:top="560" w:bottom="160" w:left="16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7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1.719879pt;margin-top:832.309387pt;width:41.75pt;height:9.35pt;mso-position-horizontal-relative:page;mso-position-vertical-relative:page;z-index:-7696" type="#_x0000_t202" filled="false" stroked="false">
          <v:textbox inset="0,0,0,0">
            <w:txbxContent>
              <w:p>
                <w:pPr>
                  <w:spacing w:line="167" w:lineRule="exact" w:before="0"/>
                  <w:ind w:left="20" w:right="0" w:firstLine="0"/>
                  <w:jc w:val="left"/>
                  <w:rPr>
                    <w:rFonts w:ascii="Calibri" w:hAnsi="Calibri"/>
                    <w:sz w:val="14"/>
                  </w:rPr>
                </w:pPr>
                <w:r>
                  <w:rPr>
                    <w:rFonts w:ascii="Calibri" w:hAnsi="Calibri"/>
                    <w:w w:val="105"/>
                    <w:sz w:val="14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‒"/>
      <w:lvlJc w:val="left"/>
      <w:pPr>
        <w:ind w:left="974" w:hanging="452"/>
      </w:pPr>
      <w:rPr>
        <w:rFonts w:hint="default" w:ascii="Arial" w:hAnsi="Arial" w:eastAsia="Arial" w:cs="Arial"/>
        <w:w w:val="95"/>
        <w:sz w:val="16"/>
        <w:szCs w:val="16"/>
      </w:rPr>
    </w:lvl>
    <w:lvl w:ilvl="1">
      <w:start w:val="0"/>
      <w:numFmt w:val="bullet"/>
      <w:lvlText w:val="•"/>
      <w:lvlJc w:val="left"/>
      <w:pPr>
        <w:ind w:left="1820" w:hanging="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0" w:hanging="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0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0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0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1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ind w:left="1624"/>
      <w:outlineLvl w:val="1"/>
    </w:pPr>
    <w:rPr>
      <w:rFonts w:ascii="Arial" w:hAnsi="Arial" w:eastAsia="Arial" w:cs="Arial"/>
      <w:b/>
      <w:bCs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ind w:left="28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jader</dc:creator>
  <dc:title>(N\303O GRAVAR POR CIMA.xls)</dc:title>
  <dcterms:created xsi:type="dcterms:W3CDTF">2017-12-20T15:58:23Z</dcterms:created>
  <dcterms:modified xsi:type="dcterms:W3CDTF">2017-12-20T15:58:23Z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2017-12-20T00:00:00Z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2017-12-20T00:00:00Z</vt:filetime>
  </property>
</Properties>
</file>